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B6" w:rsidRPr="003B1DB6" w:rsidRDefault="003B1DB6" w:rsidP="003B1DB6">
      <w:pPr>
        <w:spacing w:before="100" w:beforeAutospacing="1" w:after="100" w:afterAutospacing="1" w:line="324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B1D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Zadig &amp; Voltaire to sell stake to US fund-report….</w:t>
      </w:r>
    </w:p>
    <w:p w:rsidR="003B1DB6" w:rsidRPr="003B1DB6" w:rsidRDefault="003B1DB6" w:rsidP="003B1DB6">
      <w:pPr>
        <w:spacing w:before="100" w:beforeAutospacing="1" w:after="100" w:afterAutospacing="1" w:line="324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B1DB6" w:rsidRPr="003B1DB6" w:rsidRDefault="003B1DB6" w:rsidP="003B1DB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1DB6">
        <w:rPr>
          <w:rFonts w:ascii="Times New Roman" w:eastAsia="Times New Roman" w:hAnsi="Times New Roman" w:cs="Times New Roman"/>
          <w:sz w:val="24"/>
          <w:szCs w:val="24"/>
        </w:rPr>
        <w:t xml:space="preserve">Fast-growing French fashion brand Zadig &amp; Voltaire has sealed a deal to sell a 30 percent stake to U.S. private equity buyer TA Associates, valuing the company at around 380 million euros, Le Figaro newspaper said on Monday. </w:t>
      </w:r>
    </w:p>
    <w:p w:rsidR="003B1DB6" w:rsidRP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1DB6">
        <w:rPr>
          <w:rFonts w:ascii="Times New Roman" w:eastAsia="Times New Roman" w:hAnsi="Times New Roman" w:cs="Times New Roman"/>
          <w:sz w:val="24"/>
          <w:szCs w:val="24"/>
        </w:rPr>
        <w:t xml:space="preserve">The French daily, which did not disclose its sources, said the deal could be announced "in the coming days" and will help Zadig &amp; Voltaire accelerate its international expansion </w:t>
      </w:r>
    </w:p>
    <w:p w:rsidR="003B1DB6" w:rsidRP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1DB6">
        <w:rPr>
          <w:rFonts w:ascii="Times New Roman" w:eastAsia="Times New Roman" w:hAnsi="Times New Roman" w:cs="Times New Roman"/>
          <w:sz w:val="24"/>
          <w:szCs w:val="24"/>
        </w:rPr>
        <w:t xml:space="preserve">Zadig &amp; Voltaire, created in 1995 and known for its urban style with a rock spirit, had sales of 130.6 million euros and earnings before interest, taxes and amortisation of 34.2 million in fiscal year ended July 31, 2011. </w:t>
      </w:r>
    </w:p>
    <w:p w:rsid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1DB6">
        <w:rPr>
          <w:rFonts w:ascii="Times New Roman" w:eastAsia="Times New Roman" w:hAnsi="Times New Roman" w:cs="Times New Roman"/>
          <w:sz w:val="24"/>
          <w:szCs w:val="24"/>
        </w:rPr>
        <w:t>The company was not immediately available for comment.</w:t>
      </w:r>
    </w:p>
    <w:p w:rsid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 Luxury</w:t>
      </w:r>
    </w:p>
    <w:p w:rsid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London office </w:t>
      </w:r>
    </w:p>
    <w:p w:rsidR="003B1DB6" w:rsidRPr="003B1DB6" w:rsidRDefault="003B1DB6" w:rsidP="003B1DB6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5022F" w:rsidRDefault="00D5022F"/>
    <w:sectPr w:rsidR="00D5022F" w:rsidSect="00D5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1DB6"/>
    <w:rsid w:val="003B1DB6"/>
    <w:rsid w:val="00D5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2F"/>
  </w:style>
  <w:style w:type="paragraph" w:styleId="Heading1">
    <w:name w:val="heading 1"/>
    <w:basedOn w:val="Normal"/>
    <w:link w:val="Heading1Char"/>
    <w:uiPriority w:val="9"/>
    <w:qFormat/>
    <w:rsid w:val="003B1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D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2012-04-16T09:52:00Z</dcterms:created>
  <dcterms:modified xsi:type="dcterms:W3CDTF">2012-04-16T09:53:00Z</dcterms:modified>
</cp:coreProperties>
</file>