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754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"http://www.bloomberg.com/quote/CFR:VX" \o "Get Quote" </w:instrText>
      </w:r>
      <w:r w:rsidRPr="00A754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Cie.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Financiere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 (CFR)</w:t>
      </w:r>
      <w:r w:rsidRPr="00A754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the second-biggest luxury goods company, reported full-year profit that beat analysts’ estimates as sales were boosted by buoyant demand for high-end goods in the Asia-Pacific region. </w:t>
      </w:r>
    </w:p>
    <w:p w:rsid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Net income climbed 43 percent to 1.54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($1.96 billion) in the 12 months through March 31, the Geneva-based company said today in a statement. </w:t>
      </w:r>
    </w:p>
    <w:p w:rsid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The average of 14 analyst </w:t>
      </w:r>
      <w:hyperlink r:id="rId4" w:tooltip="Get Quote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estimates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compiled by Bloomberg was 1.36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Revenue gained 29 percent to 8.87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including growth of 43 percent in Asia-Pacific. </w:t>
      </w:r>
    </w:p>
    <w:p w:rsid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A Cirque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Animalier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wristwatch by Cartier, a unit of Cie.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Financiere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SA, sits on display at the SIHH watch fair in Geneva. </w:t>
      </w:r>
      <w:proofErr w:type="gramStart"/>
      <w:r w:rsidRPr="00A7544B">
        <w:rPr>
          <w:rFonts w:ascii="Times New Roman" w:eastAsia="Times New Roman" w:hAnsi="Times New Roman" w:cs="Times New Roman"/>
          <w:sz w:val="24"/>
          <w:szCs w:val="24"/>
        </w:rPr>
        <w:t>Cie.</w:t>
      </w:r>
      <w:proofErr w:type="gram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Financiere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SA, the second-biggest luxury goods company, reported full-year profit that beat analysts’ estimates as it sold more Cartier jewelry in Asia.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Plassard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director at Louis Capital Markets SA, discusses his recommendations for stocks in the luxury industry including LVMH Moet Hennessy Louis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Vuitton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 and Swatch Group AG. He speaks from Geneva with Guy Johnson on Bloomberg Television's "The Pulse." (Source: Bloomberg) </w:t>
      </w:r>
    </w:p>
    <w:p w:rsid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rose the most in nine months in Zurich trading. The maker of Cartier jewelry gets about 42 percent of revenue in Asia-Pacific, where the luxury market will expand as much as 16 percent this year, according to Bain &amp; Co.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The forecast excludes </w:t>
      </w:r>
      <w:hyperlink r:id="rId5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China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which the researcher estimates will grow as much as 22 percent.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said sales in April rose 29 percent on a reported basis and 20 percent excluding currency swings.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continues to lead the pack in terms of organic growth rates,” HSBC analysts including </w:t>
      </w:r>
      <w:hyperlink r:id="rId6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 xml:space="preserve">Antoine </w:t>
        </w:r>
        <w:proofErr w:type="spellStart"/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Belge</w:t>
        </w:r>
        <w:proofErr w:type="spellEnd"/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wrote today in a note. The current year “is off to a staggering start.” HSBC has a neutral recommendation on the stock.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The shares gained 8.1 percent, the steepest advance since Aug. 11, to 57.65 Swiss francs.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bCs/>
          <w:sz w:val="24"/>
          <w:szCs w:val="24"/>
        </w:rPr>
        <w:t xml:space="preserve">‘Cautious Optimism’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While mindful of unstable economic conditions, particularly in the euro zone,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is convinced of the resilience and long-term prospects of its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maisons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Chairman and Chief Executive Officer Johann Rupert said in the statement. “We therefore look forward to the future with cautious optimism,” he said.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Excluding currency swings, sales climbed 46 percent in the Asia-Pacific region, 20 percent in </w:t>
      </w:r>
      <w:hyperlink r:id="rId7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Europe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30 percent in the Americas and 9 percent in </w:t>
      </w:r>
      <w:hyperlink r:id="rId8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Japan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the company said.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While growth has slowed in some Chinese coastal cities, the country is doing very well overall, Rupert said today on a call to reporters.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hasn’t seen any sign of demand waning in Europe, the CEO also said, adding that he’s been surprised by the region’s resilience. Full-year sales growth in Europe was a “notch” slower than the prior year, the company said.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Revenue from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Richemont’s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watch division, which includes Jaeger-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LeCoultre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timepieces, climbed 31 percent to 2.32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exceeding the 2.25 billion-euro average estimate of 13 analysts surveyed by Bloomberg. </w:t>
      </w:r>
      <w:hyperlink r:id="rId9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Asia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imported more than half of </w:t>
      </w:r>
      <w:hyperlink r:id="rId10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Switzerland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’s watches last year, according to the Federation of the Swiss Watch Industry.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bCs/>
          <w:sz w:val="24"/>
          <w:szCs w:val="24"/>
        </w:rPr>
        <w:t xml:space="preserve">Net-A-Porter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Sales at the jewelry unit increased 32 percent to 4.59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in March said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Stanislas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Quercize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who heads the Van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Cleef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Arpels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brand, will succeed Bernard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Fornas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as chief executive of Cartier by the end of 2012.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Montblanc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sales climbed 8 percent to 723 million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, while other businesses, which include online fashion retailer Net-A-Porter and the company’s watch-component manufacturing activities, climbed 27 percent to 1.23 billion </w:t>
      </w: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plans to open about 70 stores this year, while cash will be used for organic growth, Rupert said. There are no acquisitions on the immediate horizon, he said.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44B">
        <w:rPr>
          <w:rFonts w:ascii="Times New Roman" w:eastAsia="Times New Roman" w:hAnsi="Times New Roman" w:cs="Times New Roman"/>
          <w:sz w:val="24"/>
          <w:szCs w:val="24"/>
        </w:rPr>
        <w:t>Richemont</w:t>
      </w:r>
      <w:proofErr w:type="spell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also said today it will buy back as many as 10 million </w:t>
      </w:r>
      <w:proofErr w:type="gramStart"/>
      <w:r w:rsidRPr="00A754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shares, or a 1.7 percent stake, through the market over the next two years. The stock will be held by the company to hedge awards to executives under a stock option plan. </w:t>
      </w:r>
    </w:p>
    <w:p w:rsidR="00A7544B" w:rsidRPr="00A7544B" w:rsidRDefault="00A7544B" w:rsidP="00A7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The company also proposed a </w:t>
      </w:r>
      <w:hyperlink r:id="rId11" w:tooltip="Get Quote" w:history="1">
        <w:r w:rsidRPr="00A7544B">
          <w:rPr>
            <w:rFonts w:ascii="Times New Roman" w:eastAsia="Times New Roman" w:hAnsi="Times New Roman" w:cs="Times New Roman"/>
            <w:sz w:val="24"/>
            <w:szCs w:val="24"/>
          </w:rPr>
          <w:t>dividend</w:t>
        </w:r>
      </w:hyperlink>
      <w:r w:rsidRPr="00A7544B">
        <w:rPr>
          <w:rFonts w:ascii="Times New Roman" w:eastAsia="Times New Roman" w:hAnsi="Times New Roman" w:cs="Times New Roman"/>
          <w:sz w:val="24"/>
          <w:szCs w:val="24"/>
        </w:rPr>
        <w:t xml:space="preserve"> of 55 centimes a share, up 22 percent on the prior year, to be paid on Sept. 13. </w:t>
      </w:r>
    </w:p>
    <w:p w:rsidR="00434433" w:rsidRDefault="00434433"/>
    <w:sectPr w:rsidR="00434433" w:rsidSect="0043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44B"/>
    <w:rsid w:val="00434433"/>
    <w:rsid w:val="00A7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33"/>
  </w:style>
  <w:style w:type="paragraph" w:styleId="Heading2">
    <w:name w:val="heading 2"/>
    <w:basedOn w:val="Normal"/>
    <w:link w:val="Heading2Char"/>
    <w:uiPriority w:val="9"/>
    <w:qFormat/>
    <w:rsid w:val="00A75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54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544B"/>
    <w:rPr>
      <w:color w:val="0000FF"/>
      <w:u w:val="single"/>
    </w:rPr>
  </w:style>
  <w:style w:type="paragraph" w:customStyle="1" w:styleId="caption">
    <w:name w:val="caption"/>
    <w:basedOn w:val="Normal"/>
    <w:rsid w:val="00A7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s.bloomberg.com/japa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opics.bloomberg.com/europ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pics.bloomberg.com/antoine-belge/" TargetMode="External"/><Relationship Id="rId11" Type="http://schemas.openxmlformats.org/officeDocument/2006/relationships/hyperlink" Target="http://www.bloomberg.com/quote/CFR:VX" TargetMode="External"/><Relationship Id="rId5" Type="http://schemas.openxmlformats.org/officeDocument/2006/relationships/hyperlink" Target="http://topics.bloomberg.com/china/" TargetMode="External"/><Relationship Id="rId10" Type="http://schemas.openxmlformats.org/officeDocument/2006/relationships/hyperlink" Target="http://topics.bloomberg.com/switzerland/" TargetMode="External"/><Relationship Id="rId4" Type="http://schemas.openxmlformats.org/officeDocument/2006/relationships/hyperlink" Target="http://www.bloomberg.com/quote/CFR:VX" TargetMode="External"/><Relationship Id="rId9" Type="http://schemas.openxmlformats.org/officeDocument/2006/relationships/hyperlink" Target="http://topics.bloomberg.com/a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2012-05-16T18:41:00Z</dcterms:created>
  <dcterms:modified xsi:type="dcterms:W3CDTF">2012-05-16T18:42:00Z</dcterms:modified>
</cp:coreProperties>
</file>